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2531E" w14:textId="52A94B99" w:rsidR="000762B1" w:rsidRPr="008972C5" w:rsidRDefault="000751D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Circles and </w:t>
      </w:r>
      <w:r w:rsidRPr="000751D3">
        <w:rPr>
          <w:b/>
          <w:bCs/>
          <w:sz w:val="22"/>
          <w:szCs w:val="22"/>
        </w:rPr>
        <w:t>π</w:t>
      </w:r>
      <w:r w:rsidR="00204028" w:rsidRPr="008972C5">
        <w:rPr>
          <w:b/>
          <w:bCs/>
          <w:sz w:val="22"/>
          <w:szCs w:val="22"/>
        </w:rPr>
        <w:t xml:space="preserve"> </w:t>
      </w:r>
      <w:r w:rsidR="00BF6208">
        <w:rPr>
          <w:b/>
          <w:bCs/>
          <w:sz w:val="22"/>
          <w:szCs w:val="22"/>
        </w:rPr>
        <w:t>Interactive</w:t>
      </w:r>
      <w:r w:rsidR="00204028" w:rsidRPr="008972C5">
        <w:rPr>
          <w:b/>
          <w:bCs/>
          <w:sz w:val="22"/>
          <w:szCs w:val="22"/>
        </w:rPr>
        <w:t xml:space="preserve"> Introduction</w:t>
      </w:r>
    </w:p>
    <w:p w14:paraId="516EF350" w14:textId="6EA201BC" w:rsidR="00BB56D8" w:rsidRPr="000751D3" w:rsidRDefault="000751D3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Finding roughly circular or cylindrical objects and measuring their diameter and circumference with tape measures is hard to do accurately. </w:t>
      </w:r>
      <w:r w:rsidR="00261A2D">
        <w:rPr>
          <w:i/>
          <w:iCs/>
          <w:sz w:val="22"/>
          <w:szCs w:val="22"/>
        </w:rPr>
        <w:t>And t</w:t>
      </w:r>
      <w:r>
        <w:rPr>
          <w:i/>
          <w:iCs/>
          <w:sz w:val="22"/>
          <w:szCs w:val="22"/>
        </w:rPr>
        <w:t xml:space="preserve">he constant </w:t>
      </w:r>
      <w:r w:rsidR="00596400">
        <w:rPr>
          <w:i/>
          <w:iCs/>
          <w:sz w:val="22"/>
          <w:szCs w:val="22"/>
        </w:rPr>
        <w:t>dividing</w:t>
      </w:r>
      <w:r>
        <w:rPr>
          <w:i/>
          <w:iCs/>
          <w:sz w:val="22"/>
          <w:szCs w:val="22"/>
        </w:rPr>
        <w:t xml:space="preserve"> of circumference by diameter each time </w:t>
      </w:r>
      <w:r w:rsidR="000B47D6">
        <w:rPr>
          <w:i/>
          <w:iCs/>
          <w:sz w:val="22"/>
          <w:szCs w:val="22"/>
        </w:rPr>
        <w:t xml:space="preserve">seems to </w:t>
      </w:r>
      <w:r w:rsidRPr="000751D3">
        <w:rPr>
          <w:i/>
          <w:iCs/>
          <w:sz w:val="22"/>
          <w:szCs w:val="22"/>
        </w:rPr>
        <w:t>reinforce the notion that π is a ratio, when of course it is actually irrational</w:t>
      </w:r>
      <w:r w:rsidR="000B47D6">
        <w:rPr>
          <w:i/>
          <w:iCs/>
          <w:sz w:val="22"/>
          <w:szCs w:val="22"/>
        </w:rPr>
        <w:t>!</w:t>
      </w:r>
      <w:r>
        <w:rPr>
          <w:i/>
          <w:iCs/>
          <w:sz w:val="22"/>
          <w:szCs w:val="22"/>
        </w:rPr>
        <w:t xml:space="preserve"> So, I prefer </w:t>
      </w:r>
      <w:r w:rsidR="000B47D6">
        <w:rPr>
          <w:i/>
          <w:iCs/>
          <w:sz w:val="22"/>
          <w:szCs w:val="22"/>
        </w:rPr>
        <w:t>this</w:t>
      </w:r>
      <w:r>
        <w:rPr>
          <w:i/>
          <w:iCs/>
          <w:sz w:val="22"/>
          <w:szCs w:val="22"/>
        </w:rPr>
        <w:t xml:space="preserve"> approach</w:t>
      </w:r>
      <w:r w:rsidR="000B47D6">
        <w:rPr>
          <w:i/>
          <w:iCs/>
          <w:sz w:val="22"/>
          <w:szCs w:val="22"/>
        </w:rPr>
        <w:t>, which is</w:t>
      </w:r>
      <w:r>
        <w:rPr>
          <w:i/>
          <w:iCs/>
          <w:sz w:val="22"/>
          <w:szCs w:val="22"/>
        </w:rPr>
        <w:t xml:space="preserve"> based on reasoning</w:t>
      </w:r>
      <w:r w:rsidR="00596400">
        <w:rPr>
          <w:i/>
          <w:iCs/>
          <w:sz w:val="22"/>
          <w:szCs w:val="22"/>
        </w:rPr>
        <w:t>,</w:t>
      </w:r>
      <w:r>
        <w:rPr>
          <w:i/>
          <w:iCs/>
          <w:sz w:val="22"/>
          <w:szCs w:val="22"/>
        </w:rPr>
        <w:t xml:space="preserve"> rather than approximate measurement.</w:t>
      </w:r>
      <w:r w:rsidR="00261A2D">
        <w:rPr>
          <w:rStyle w:val="FootnoteReference"/>
          <w:i/>
          <w:iCs/>
          <w:sz w:val="22"/>
          <w:szCs w:val="22"/>
        </w:rPr>
        <w:footnoteReference w:id="1"/>
      </w:r>
    </w:p>
    <w:p w14:paraId="18DF0202" w14:textId="58D53389" w:rsidR="00DE33C6" w:rsidRPr="005D0B1B" w:rsidRDefault="00DE33C6">
      <w:pPr>
        <w:rPr>
          <w:sz w:val="16"/>
          <w:szCs w:val="16"/>
        </w:rPr>
      </w:pPr>
    </w:p>
    <w:p w14:paraId="7ED13202" w14:textId="7D8B7F02" w:rsidR="000751D3" w:rsidRDefault="002D0B33">
      <w:pPr>
        <w:rPr>
          <w:i/>
          <w:i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1879860" wp14:editId="58690B90">
            <wp:simplePos x="0" y="0"/>
            <wp:positionH relativeFrom="column">
              <wp:posOffset>4845831</wp:posOffset>
            </wp:positionH>
            <wp:positionV relativeFrom="page">
              <wp:posOffset>2034173</wp:posOffset>
            </wp:positionV>
            <wp:extent cx="1206500" cy="1219200"/>
            <wp:effectExtent l="0" t="0" r="0" b="0"/>
            <wp:wrapSquare wrapText="bothSides"/>
            <wp:docPr id="2" name="Picture 2" descr="&lt;EFOFEX&gt;&#10;&#13;id:fxd{4b53b8fb-6f05-41ef-9ae4-d0b0cd0ecbcb}&#10;&#13;&#10;&#13;FXData:AAAFB3iczVTLbsIwEPyVfoBBuyGmURVXSgKm9CVU0Q8otL0hceAY8e2NPevECOJzlddmd2Z2PbFSth8/e1O2C0OKVKH91T6W7bJLhtLWJazx+QZvldEkOJrqu/3BxbWruaNsVxE9d4knM2HwOzwQW/A11P3b2rj7c09eGotuDNCXe8hADZK1e6Dpyyhvl+S9jvL2Sd7bKO87yXsf5R2SvAqfILK5Kz6IrRkUgnKFRG0K5QFn6ks2ap9Jp+MJnS1UmKQTKZ4PF8mwx5NiRf7ItA7DDFumhm4VTSPkOgRNCBYIIBFNWZmciNRM9llztfYzR1itE9jgXnZRJOzCAkMw3dAdnFoZrFD8sdjSt8z7B55lFHxgxaQm7E605j5QNL3XPkz56vV0r1fc0GOVQe9aLGk8i/F8iR2cXcPQ4W/QGAgAIjLi2mIzOdnV567+BXULqo0+W9drnus8n8ly7DDmH3Mmgm0=&#10;&#13;&lt;/EFOFEX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&lt;EFOFEX&gt;&#10;&#13;id:fxd{4b53b8fb-6f05-41ef-9ae4-d0b0cd0ecbcb}&#10;&#13;&#10;&#13;FXData:AAAFB3iczVTLbsIwEPyVfoBBuyGmURVXSgKm9CVU0Q8otL0hceAY8e2NPevECOJzlddmd2Z2PbFSth8/e1O2C0OKVKH91T6W7bJLhtLWJazx+QZvldEkOJrqu/3BxbWruaNsVxE9d4knM2HwOzwQW/A11P3b2rj7c09eGotuDNCXe8hADZK1e6Dpyyhvl+S9jvL2Sd7bKO87yXsf5R2SvAqfILK5Kz6IrRkUgnKFRG0K5QFn6ks2ap9Jp+MJnS1UmKQTKZ4PF8mwx5NiRf7ItA7DDFumhm4VTSPkOgRNCBYIIBFNWZmciNRM9llztfYzR1itE9jgXnZRJOzCAkMw3dAdnFoZrFD8sdjSt8z7B55lFHxgxaQm7E605j5QNL3XPkz56vV0r1fc0GOVQe9aLGk8i/F8iR2cXcPQ4W/QGAgAIjLi2mIzOdnV567+BXULqo0+W9drnus8n8ly7DDmH3Mmgm0=&#10;&#13;&lt;/EFOFEX&gt;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51D3" w:rsidRPr="000751D3">
        <w:rPr>
          <w:i/>
          <w:iCs/>
          <w:sz w:val="22"/>
          <w:szCs w:val="22"/>
        </w:rPr>
        <w:t>Project a circle on the board</w:t>
      </w:r>
      <w:r w:rsidR="005D0B1B">
        <w:rPr>
          <w:i/>
          <w:iCs/>
          <w:sz w:val="22"/>
          <w:szCs w:val="22"/>
        </w:rPr>
        <w:t xml:space="preserve"> (PowerPoint file available)</w:t>
      </w:r>
      <w:r w:rsidR="000751D3" w:rsidRPr="000751D3">
        <w:rPr>
          <w:i/>
          <w:iCs/>
          <w:sz w:val="22"/>
          <w:szCs w:val="22"/>
        </w:rPr>
        <w:t>. Make sure the projector doesn’t distort it into an oval!</w:t>
      </w:r>
    </w:p>
    <w:p w14:paraId="4E4CB8ED" w14:textId="354D486D" w:rsidR="005F390D" w:rsidRDefault="00204028" w:rsidP="000751D3">
      <w:pPr>
        <w:rPr>
          <w:sz w:val="22"/>
          <w:szCs w:val="22"/>
        </w:rPr>
      </w:pPr>
      <w:r w:rsidRPr="008972C5">
        <w:rPr>
          <w:sz w:val="22"/>
          <w:szCs w:val="22"/>
        </w:rPr>
        <w:t xml:space="preserve">T: </w:t>
      </w:r>
      <w:r w:rsidR="000751D3">
        <w:rPr>
          <w:sz w:val="22"/>
          <w:szCs w:val="22"/>
        </w:rPr>
        <w:t xml:space="preserve">Is it quicker to run </w:t>
      </w:r>
      <w:r w:rsidR="00600CD1">
        <w:rPr>
          <w:sz w:val="22"/>
          <w:szCs w:val="22"/>
        </w:rPr>
        <w:t>a</w:t>
      </w:r>
      <w:r w:rsidR="000751D3">
        <w:rPr>
          <w:sz w:val="22"/>
          <w:szCs w:val="22"/>
        </w:rPr>
        <w:t>round the circle or across the middle and back?</w:t>
      </w:r>
    </w:p>
    <w:p w14:paraId="63AE4B31" w14:textId="53C6AA85" w:rsidR="000751D3" w:rsidRPr="000751D3" w:rsidRDefault="000751D3" w:rsidP="000751D3">
      <w:pPr>
        <w:rPr>
          <w:i/>
          <w:iCs/>
          <w:sz w:val="22"/>
          <w:szCs w:val="22"/>
        </w:rPr>
      </w:pPr>
      <w:r w:rsidRPr="000751D3">
        <w:rPr>
          <w:i/>
          <w:iCs/>
          <w:sz w:val="22"/>
          <w:szCs w:val="22"/>
        </w:rPr>
        <w:t>I would deliberately avoid ‘mathematical’ language for this initial prompt. If the weather was nice, and I had a large circle painted on the field or playground, I might consider actually doing this outside, but this would be mainly for ‘fun’ and to make the question vivid, rather than to ‘collect data’ to answer the question.</w:t>
      </w:r>
    </w:p>
    <w:p w14:paraId="7C9C789A" w14:textId="77777777" w:rsidR="005D0B1B" w:rsidRDefault="000751D3" w:rsidP="000751D3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We could address ‘modelling assumptions’ here</w:t>
      </w:r>
      <w:r w:rsidR="005D0B1B">
        <w:rPr>
          <w:i/>
          <w:iCs/>
          <w:sz w:val="22"/>
          <w:szCs w:val="22"/>
        </w:rPr>
        <w:t>:</w:t>
      </w:r>
      <w:r>
        <w:rPr>
          <w:i/>
          <w:iCs/>
          <w:sz w:val="22"/>
          <w:szCs w:val="22"/>
        </w:rPr>
        <w:t xml:space="preserve"> that we are going to think about total distance rather than how easy it is to </w:t>
      </w:r>
      <w:r w:rsidR="00737CB1">
        <w:rPr>
          <w:i/>
          <w:iCs/>
          <w:sz w:val="22"/>
          <w:szCs w:val="22"/>
        </w:rPr>
        <w:t>change direction, etc.</w:t>
      </w:r>
    </w:p>
    <w:p w14:paraId="078885BD" w14:textId="645DF892" w:rsidR="000751D3" w:rsidRDefault="00737CB1" w:rsidP="000751D3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</w:t>
      </w:r>
      <w:r w:rsidR="000751D3">
        <w:rPr>
          <w:i/>
          <w:iCs/>
          <w:sz w:val="22"/>
          <w:szCs w:val="22"/>
        </w:rPr>
        <w:t xml:space="preserve">tudents will realise that </w:t>
      </w:r>
      <w:r>
        <w:rPr>
          <w:i/>
          <w:iCs/>
          <w:sz w:val="22"/>
          <w:szCs w:val="22"/>
        </w:rPr>
        <w:t xml:space="preserve">twice the diameter is less than the circumference, because a straight line is the shortest route from </w:t>
      </w:r>
      <w:r w:rsidR="005D0B1B">
        <w:rPr>
          <w:i/>
          <w:iCs/>
          <w:sz w:val="22"/>
          <w:szCs w:val="22"/>
        </w:rPr>
        <w:t>the top to the bottom and the bottom to the top</w:t>
      </w:r>
      <w:r>
        <w:rPr>
          <w:i/>
          <w:iCs/>
          <w:sz w:val="22"/>
          <w:szCs w:val="22"/>
        </w:rPr>
        <w:t xml:space="preserve">. I would introduce/use the terms </w:t>
      </w:r>
      <w:r w:rsidR="005D0B1B">
        <w:rPr>
          <w:i/>
          <w:iCs/>
          <w:sz w:val="22"/>
          <w:szCs w:val="22"/>
        </w:rPr>
        <w:t>‘</w:t>
      </w:r>
      <w:r>
        <w:rPr>
          <w:i/>
          <w:iCs/>
          <w:sz w:val="22"/>
          <w:szCs w:val="22"/>
        </w:rPr>
        <w:t>diameter</w:t>
      </w:r>
      <w:r w:rsidR="005D0B1B">
        <w:rPr>
          <w:i/>
          <w:iCs/>
          <w:sz w:val="22"/>
          <w:szCs w:val="22"/>
        </w:rPr>
        <w:t>’</w:t>
      </w:r>
      <w:r>
        <w:rPr>
          <w:i/>
          <w:iCs/>
          <w:sz w:val="22"/>
          <w:szCs w:val="22"/>
        </w:rPr>
        <w:t xml:space="preserve"> and </w:t>
      </w:r>
      <w:r w:rsidR="005D0B1B">
        <w:rPr>
          <w:i/>
          <w:iCs/>
          <w:sz w:val="22"/>
          <w:szCs w:val="22"/>
        </w:rPr>
        <w:t>‘</w:t>
      </w:r>
      <w:r>
        <w:rPr>
          <w:i/>
          <w:iCs/>
          <w:sz w:val="22"/>
          <w:szCs w:val="22"/>
        </w:rPr>
        <w:t>circumference</w:t>
      </w:r>
      <w:r w:rsidR="005D0B1B">
        <w:rPr>
          <w:i/>
          <w:iCs/>
          <w:sz w:val="22"/>
          <w:szCs w:val="22"/>
        </w:rPr>
        <w:t>’</w:t>
      </w:r>
      <w:r>
        <w:rPr>
          <w:i/>
          <w:iCs/>
          <w:sz w:val="22"/>
          <w:szCs w:val="22"/>
        </w:rPr>
        <w:t xml:space="preserve"> from </w:t>
      </w:r>
      <w:r w:rsidR="005D0B1B">
        <w:rPr>
          <w:i/>
          <w:iCs/>
          <w:sz w:val="22"/>
          <w:szCs w:val="22"/>
        </w:rPr>
        <w:t>the</w:t>
      </w:r>
      <w:r>
        <w:rPr>
          <w:i/>
          <w:iCs/>
          <w:sz w:val="22"/>
          <w:szCs w:val="22"/>
        </w:rPr>
        <w:t xml:space="preserve"> point</w:t>
      </w:r>
      <w:r w:rsidR="005D0B1B">
        <w:rPr>
          <w:i/>
          <w:iCs/>
          <w:sz w:val="22"/>
          <w:szCs w:val="22"/>
        </w:rPr>
        <w:t xml:space="preserve"> at which students begin answering.</w:t>
      </w:r>
    </w:p>
    <w:p w14:paraId="652F85A4" w14:textId="38964127" w:rsidR="00737CB1" w:rsidRDefault="00600CD1" w:rsidP="000751D3">
      <w:pPr>
        <w:rPr>
          <w:rFonts w:eastAsiaTheme="minorEastAsia"/>
          <w:i/>
          <w:iCs/>
          <w:sz w:val="22"/>
          <w:szCs w:val="22"/>
        </w:rPr>
      </w:pPr>
      <w:r w:rsidRPr="00600CD1">
        <w:rPr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 w:rsidRPr="00600CD1">
        <w:rPr>
          <w:i/>
          <w:iCs/>
          <w:sz w:val="22"/>
          <w:szCs w:val="22"/>
        </w:rPr>
        <w:t>writes</w:t>
      </w:r>
      <w:r w:rsidRPr="00600CD1">
        <w:rPr>
          <w:sz w:val="22"/>
          <w:szCs w:val="22"/>
        </w:rPr>
        <w:t xml:space="preserve">: </w:t>
      </w:r>
      <m:oMath>
        <m:r>
          <w:rPr>
            <w:rFonts w:ascii="Cambria Math" w:hAnsi="Cambria Math"/>
            <w:sz w:val="22"/>
            <w:szCs w:val="22"/>
          </w:rPr>
          <m:t>2d&lt;c</m:t>
        </m:r>
      </m:oMath>
      <w:r>
        <w:rPr>
          <w:rFonts w:eastAsiaTheme="minorEastAsia"/>
          <w:sz w:val="22"/>
          <w:szCs w:val="22"/>
        </w:rPr>
        <w:t xml:space="preserve"> </w:t>
      </w:r>
      <w:r w:rsidRPr="00600CD1">
        <w:rPr>
          <w:rFonts w:eastAsiaTheme="minorEastAsia"/>
          <w:i/>
          <w:iCs/>
          <w:sz w:val="22"/>
          <w:szCs w:val="22"/>
        </w:rPr>
        <w:t>(in words or symbols, or both, depending on the class)</w:t>
      </w:r>
      <w:r w:rsidR="000B47D6">
        <w:rPr>
          <w:rFonts w:eastAsiaTheme="minorEastAsia"/>
          <w:i/>
          <w:iCs/>
          <w:sz w:val="22"/>
          <w:szCs w:val="22"/>
        </w:rPr>
        <w:t xml:space="preserve"> to summarise what’s been said</w:t>
      </w:r>
      <w:r w:rsidRPr="00600CD1">
        <w:rPr>
          <w:rFonts w:eastAsiaTheme="minorEastAsia"/>
          <w:i/>
          <w:iCs/>
          <w:sz w:val="22"/>
          <w:szCs w:val="22"/>
        </w:rPr>
        <w:t xml:space="preserve">, checking </w:t>
      </w:r>
      <w:r w:rsidR="000B47D6">
        <w:rPr>
          <w:rFonts w:eastAsiaTheme="minorEastAsia"/>
          <w:i/>
          <w:iCs/>
          <w:sz w:val="22"/>
          <w:szCs w:val="22"/>
        </w:rPr>
        <w:t xml:space="preserve">that </w:t>
      </w:r>
      <w:r w:rsidRPr="00600CD1">
        <w:rPr>
          <w:rFonts w:eastAsiaTheme="minorEastAsia"/>
          <w:i/>
          <w:iCs/>
          <w:sz w:val="22"/>
          <w:szCs w:val="22"/>
        </w:rPr>
        <w:t xml:space="preserve">students know their </w:t>
      </w:r>
      <m:oMath>
        <m:r>
          <w:rPr>
            <w:rFonts w:ascii="Cambria Math" w:hAnsi="Cambria Math"/>
            <w:sz w:val="22"/>
            <w:szCs w:val="22"/>
          </w:rPr>
          <m:t>&lt;</m:t>
        </m:r>
      </m:oMath>
      <w:r w:rsidRPr="00600CD1">
        <w:rPr>
          <w:rFonts w:eastAsiaTheme="minorEastAsia"/>
          <w:i/>
          <w:iCs/>
          <w:sz w:val="22"/>
          <w:szCs w:val="22"/>
        </w:rPr>
        <w:t xml:space="preserve"> from their </w:t>
      </w:r>
      <m:oMath>
        <m:r>
          <w:rPr>
            <w:rFonts w:ascii="Cambria Math" w:hAnsi="Cambria Math"/>
            <w:sz w:val="22"/>
            <w:szCs w:val="22"/>
          </w:rPr>
          <m:t>&gt;</m:t>
        </m:r>
      </m:oMath>
      <w:r w:rsidRPr="00600CD1">
        <w:rPr>
          <w:rFonts w:eastAsiaTheme="minorEastAsia"/>
          <w:i/>
          <w:iCs/>
          <w:sz w:val="22"/>
          <w:szCs w:val="22"/>
        </w:rPr>
        <w:t>.</w:t>
      </w:r>
    </w:p>
    <w:p w14:paraId="7FCF34D8" w14:textId="7B212858" w:rsidR="005D0B1B" w:rsidRPr="005D0B1B" w:rsidRDefault="005D0B1B" w:rsidP="000751D3">
      <w:pPr>
        <w:rPr>
          <w:rFonts w:eastAsiaTheme="minorEastAsia"/>
          <w:sz w:val="16"/>
          <w:szCs w:val="16"/>
        </w:rPr>
      </w:pPr>
    </w:p>
    <w:p w14:paraId="0451EE34" w14:textId="0CF16138" w:rsidR="00600CD1" w:rsidRPr="00600CD1" w:rsidRDefault="005D0B1B" w:rsidP="000751D3">
      <w:pPr>
        <w:rPr>
          <w:i/>
          <w:i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48F52B9" wp14:editId="6B9CFEFB">
            <wp:simplePos x="0" y="0"/>
            <wp:positionH relativeFrom="column">
              <wp:posOffset>4846320</wp:posOffset>
            </wp:positionH>
            <wp:positionV relativeFrom="page">
              <wp:posOffset>4445000</wp:posOffset>
            </wp:positionV>
            <wp:extent cx="1206500" cy="1219200"/>
            <wp:effectExtent l="0" t="0" r="0" b="0"/>
            <wp:wrapSquare wrapText="bothSides"/>
            <wp:docPr id="4" name="Picture 4" descr="&lt;EFOFEX&gt;&#10;&#13;id:fxd{6c556544-4888-4a4d-8201-64d61bf9d8c5}&#10;&#13;&#10;&#13;FXData: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&#10;&#13;&lt;/EFOFEX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&lt;EFOFEX&gt;&#10;&#13;id:fxd{6c556544-4888-4a4d-8201-64d61bf9d8c5}&#10;&#13;&#10;&#13;FXData: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&#10;&#13;&lt;/EFOFEX&gt;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0CD1" w:rsidRPr="00600CD1">
        <w:rPr>
          <w:i/>
          <w:iCs/>
          <w:sz w:val="22"/>
          <w:szCs w:val="22"/>
        </w:rPr>
        <w:t>Project a circle enclosed in a square.</w:t>
      </w:r>
      <w:r w:rsidR="002D0B33" w:rsidRPr="002D0B33">
        <w:rPr>
          <w:b/>
          <w:bCs/>
          <w:noProof/>
          <w:sz w:val="22"/>
          <w:szCs w:val="22"/>
        </w:rPr>
        <w:t xml:space="preserve"> </w:t>
      </w:r>
    </w:p>
    <w:p w14:paraId="2B61B657" w14:textId="2AF0F018" w:rsidR="00600CD1" w:rsidRPr="00600CD1" w:rsidRDefault="00600CD1" w:rsidP="000751D3">
      <w:pPr>
        <w:rPr>
          <w:sz w:val="22"/>
          <w:szCs w:val="22"/>
        </w:rPr>
      </w:pPr>
      <w:r>
        <w:rPr>
          <w:sz w:val="22"/>
          <w:szCs w:val="22"/>
        </w:rPr>
        <w:t>T: What about now? Is it shorter to run around the circle or around the square?</w:t>
      </w:r>
    </w:p>
    <w:p w14:paraId="4D9D5CCB" w14:textId="311CD370" w:rsidR="000751D3" w:rsidRPr="00DB0761" w:rsidRDefault="00600CD1" w:rsidP="000751D3">
      <w:pPr>
        <w:rPr>
          <w:i/>
          <w:iCs/>
          <w:sz w:val="22"/>
          <w:szCs w:val="22"/>
        </w:rPr>
      </w:pPr>
      <w:r w:rsidRPr="00DB0761">
        <w:rPr>
          <w:i/>
          <w:iCs/>
          <w:sz w:val="22"/>
          <w:szCs w:val="22"/>
        </w:rPr>
        <w:t xml:space="preserve">This will take a bit more thought, but the circle ‘cuts the corners’ of the square, so students will </w:t>
      </w:r>
      <w:r w:rsidR="005D0B1B">
        <w:rPr>
          <w:i/>
          <w:iCs/>
          <w:sz w:val="22"/>
          <w:szCs w:val="22"/>
        </w:rPr>
        <w:t>conclude</w:t>
      </w:r>
      <w:r w:rsidRPr="00DB0761">
        <w:rPr>
          <w:i/>
          <w:iCs/>
          <w:sz w:val="22"/>
          <w:szCs w:val="22"/>
        </w:rPr>
        <w:t xml:space="preserve"> that the circle is shorter this time.</w:t>
      </w:r>
    </w:p>
    <w:p w14:paraId="4E37D285" w14:textId="26315BD8" w:rsidR="00600CD1" w:rsidRPr="00600CD1" w:rsidRDefault="00600CD1" w:rsidP="00600CD1">
      <w:pPr>
        <w:rPr>
          <w:rFonts w:eastAsiaTheme="minorEastAsia"/>
          <w:i/>
          <w:iCs/>
          <w:sz w:val="22"/>
          <w:szCs w:val="22"/>
        </w:rPr>
      </w:pPr>
      <w:r w:rsidRPr="00600CD1">
        <w:rPr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 w:rsidRPr="00600CD1">
        <w:rPr>
          <w:i/>
          <w:iCs/>
          <w:sz w:val="22"/>
          <w:szCs w:val="22"/>
        </w:rPr>
        <w:t>writes</w:t>
      </w:r>
      <w:r w:rsidRPr="00600CD1">
        <w:rPr>
          <w:sz w:val="22"/>
          <w:szCs w:val="22"/>
        </w:rPr>
        <w:t xml:space="preserve">: </w:t>
      </w:r>
      <m:oMath>
        <m:r>
          <w:rPr>
            <w:rFonts w:ascii="Cambria Math" w:hAnsi="Cambria Math"/>
            <w:sz w:val="22"/>
            <w:szCs w:val="22"/>
          </w:rPr>
          <m:t>c&lt;4d</m:t>
        </m:r>
      </m:oMath>
      <w:r>
        <w:rPr>
          <w:rFonts w:eastAsiaTheme="minorEastAsia"/>
          <w:sz w:val="22"/>
          <w:szCs w:val="22"/>
        </w:rPr>
        <w:t xml:space="preserve"> </w:t>
      </w:r>
      <w:r w:rsidRPr="00600CD1">
        <w:rPr>
          <w:rFonts w:eastAsiaTheme="minorEastAsia"/>
          <w:i/>
          <w:iCs/>
          <w:sz w:val="22"/>
          <w:szCs w:val="22"/>
        </w:rPr>
        <w:t xml:space="preserve">and then combines this with the previous inequality to give the double inequality </w:t>
      </w:r>
      <m:oMath>
        <m:r>
          <w:rPr>
            <w:rFonts w:ascii="Cambria Math" w:hAnsi="Cambria Math"/>
            <w:sz w:val="22"/>
            <w:szCs w:val="22"/>
          </w:rPr>
          <m:t>2d&lt;c&lt;4d</m:t>
        </m:r>
      </m:oMath>
      <w:r w:rsidR="000B47D6">
        <w:rPr>
          <w:rFonts w:eastAsiaTheme="minorEastAsia"/>
          <w:i/>
          <w:sz w:val="22"/>
          <w:szCs w:val="22"/>
        </w:rPr>
        <w:t>. (Have students seen double inequalities before?)</w:t>
      </w:r>
    </w:p>
    <w:p w14:paraId="27D79610" w14:textId="651F342E" w:rsidR="000751D3" w:rsidRDefault="00DB0761" w:rsidP="000751D3">
      <w:pPr>
        <w:rPr>
          <w:rFonts w:eastAsiaTheme="minorEastAsia"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From this</w:t>
      </w:r>
      <w:r w:rsidR="000B47D6">
        <w:rPr>
          <w:i/>
          <w:iCs/>
          <w:sz w:val="22"/>
          <w:szCs w:val="22"/>
        </w:rPr>
        <w:t>,</w:t>
      </w:r>
      <w:r>
        <w:rPr>
          <w:i/>
          <w:iCs/>
          <w:sz w:val="22"/>
          <w:szCs w:val="22"/>
        </w:rPr>
        <w:t xml:space="preserve"> it may appear </w:t>
      </w:r>
      <w:r w:rsidR="00596400">
        <w:rPr>
          <w:i/>
          <w:iCs/>
          <w:sz w:val="22"/>
          <w:szCs w:val="22"/>
        </w:rPr>
        <w:t xml:space="preserve">‘obvious’ </w:t>
      </w:r>
      <w:r>
        <w:rPr>
          <w:i/>
          <w:iCs/>
          <w:sz w:val="22"/>
          <w:szCs w:val="22"/>
        </w:rPr>
        <w:t xml:space="preserve">that </w:t>
      </w:r>
      <m:oMath>
        <m:r>
          <w:rPr>
            <w:rFonts w:ascii="Cambria Math" w:hAnsi="Cambria Math"/>
            <w:sz w:val="22"/>
            <w:szCs w:val="22"/>
          </w:rPr>
          <m:t>c=3d</m:t>
        </m:r>
      </m:oMath>
      <w:r>
        <w:rPr>
          <w:rFonts w:eastAsiaTheme="minorEastAsia"/>
          <w:i/>
          <w:iCs/>
          <w:sz w:val="22"/>
          <w:szCs w:val="22"/>
        </w:rPr>
        <w:t>, but we have one more diagram to consider.</w:t>
      </w:r>
    </w:p>
    <w:p w14:paraId="542B4381" w14:textId="429329DD" w:rsidR="005D0B1B" w:rsidRPr="005D0B1B" w:rsidRDefault="00596400" w:rsidP="000751D3">
      <w:pPr>
        <w:rPr>
          <w:i/>
          <w:iCs/>
          <w:sz w:val="16"/>
          <w:szCs w:val="16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D663569" wp14:editId="6EBE589F">
            <wp:simplePos x="0" y="0"/>
            <wp:positionH relativeFrom="column">
              <wp:posOffset>4851400</wp:posOffset>
            </wp:positionH>
            <wp:positionV relativeFrom="page">
              <wp:posOffset>5837555</wp:posOffset>
            </wp:positionV>
            <wp:extent cx="1206500" cy="1219200"/>
            <wp:effectExtent l="0" t="0" r="0" b="0"/>
            <wp:wrapSquare wrapText="bothSides"/>
            <wp:docPr id="6" name="Picture 6" descr="&lt;EFOFEX&gt;&#10;&#13;id:fxd{b2bcc74f-21b5-4f58-9d95-79e13d2ce2dd}&#10;&#13;&#10;&#13;FXData: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&#10;&#13;&lt;/EFOFEX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&lt;EFOFEX&gt;&#10;&#13;id:fxd{b2bcc74f-21b5-4f58-9d95-79e13d2ce2dd}&#10;&#13;&#10;&#13;FXData: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&#10;&#13;&lt;/EFOFEX&gt;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9CD927" w14:textId="3DA01D5C" w:rsidR="00DB0761" w:rsidRPr="00600CD1" w:rsidRDefault="00DB0761" w:rsidP="00DB0761">
      <w:pPr>
        <w:rPr>
          <w:i/>
          <w:iCs/>
          <w:sz w:val="22"/>
          <w:szCs w:val="22"/>
        </w:rPr>
      </w:pPr>
      <w:r w:rsidRPr="00600CD1">
        <w:rPr>
          <w:i/>
          <w:iCs/>
          <w:sz w:val="22"/>
          <w:szCs w:val="22"/>
        </w:rPr>
        <w:t>Project a circle enclos</w:t>
      </w:r>
      <w:r>
        <w:rPr>
          <w:i/>
          <w:iCs/>
          <w:sz w:val="22"/>
          <w:szCs w:val="22"/>
        </w:rPr>
        <w:t>ing a regular hexagon.</w:t>
      </w:r>
    </w:p>
    <w:p w14:paraId="0C3F82D4" w14:textId="1A3BFEDF" w:rsidR="00DB0761" w:rsidRPr="00600CD1" w:rsidRDefault="00DB0761" w:rsidP="00DB0761">
      <w:pPr>
        <w:rPr>
          <w:sz w:val="22"/>
          <w:szCs w:val="22"/>
        </w:rPr>
      </w:pPr>
      <w:r>
        <w:rPr>
          <w:sz w:val="22"/>
          <w:szCs w:val="22"/>
        </w:rPr>
        <w:t xml:space="preserve">T: </w:t>
      </w:r>
      <w:r w:rsidR="005D0B1B">
        <w:rPr>
          <w:sz w:val="22"/>
          <w:szCs w:val="22"/>
        </w:rPr>
        <w:t>We have o</w:t>
      </w:r>
      <w:r>
        <w:rPr>
          <w:sz w:val="22"/>
          <w:szCs w:val="22"/>
        </w:rPr>
        <w:t>ne more situation. Is it shorter to run around the circle or around the regular hexagon?</w:t>
      </w:r>
      <w:r w:rsidR="007D647A" w:rsidRPr="007D647A">
        <w:rPr>
          <w:b/>
          <w:bCs/>
          <w:noProof/>
          <w:sz w:val="22"/>
          <w:szCs w:val="22"/>
        </w:rPr>
        <w:t xml:space="preserve"> </w:t>
      </w:r>
    </w:p>
    <w:p w14:paraId="0BA86866" w14:textId="358E4ED0" w:rsidR="000751D3" w:rsidRDefault="00DB0761" w:rsidP="000751D3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This time the hexagon’s sides are straight line segments which are </w:t>
      </w:r>
      <w:r w:rsidRPr="00596400">
        <w:rPr>
          <w:i/>
          <w:iCs/>
          <w:sz w:val="22"/>
          <w:szCs w:val="22"/>
          <w:u w:val="single"/>
        </w:rPr>
        <w:t>shorter</w:t>
      </w:r>
      <w:r>
        <w:rPr>
          <w:i/>
          <w:iCs/>
          <w:sz w:val="22"/>
          <w:szCs w:val="22"/>
        </w:rPr>
        <w:t xml:space="preserve"> than going around the </w:t>
      </w:r>
      <w:r w:rsidR="005D0B1B">
        <w:rPr>
          <w:i/>
          <w:iCs/>
          <w:sz w:val="22"/>
          <w:szCs w:val="22"/>
        </w:rPr>
        <w:t xml:space="preserve">6 </w:t>
      </w:r>
      <w:r>
        <w:rPr>
          <w:i/>
          <w:iCs/>
          <w:sz w:val="22"/>
          <w:szCs w:val="22"/>
        </w:rPr>
        <w:t>circular arcs.</w:t>
      </w:r>
    </w:p>
    <w:p w14:paraId="7F9AD7AC" w14:textId="1EC095B1" w:rsidR="00DB0761" w:rsidRDefault="00DB0761" w:rsidP="000751D3">
      <w:pPr>
        <w:rPr>
          <w:sz w:val="22"/>
          <w:szCs w:val="22"/>
        </w:rPr>
      </w:pPr>
      <w:r w:rsidRPr="00DB0761">
        <w:rPr>
          <w:sz w:val="22"/>
          <w:szCs w:val="22"/>
        </w:rPr>
        <w:t>T: What’s the inequality now?</w:t>
      </w:r>
    </w:p>
    <w:p w14:paraId="5D3B70F4" w14:textId="77777777" w:rsidR="007D647A" w:rsidRPr="005D0B1B" w:rsidRDefault="007D647A" w:rsidP="000751D3">
      <w:pPr>
        <w:rPr>
          <w:sz w:val="16"/>
          <w:szCs w:val="16"/>
        </w:rPr>
      </w:pPr>
    </w:p>
    <w:p w14:paraId="3F001C86" w14:textId="50D338F4" w:rsidR="00DB0761" w:rsidRPr="000751D3" w:rsidRDefault="00DB0761" w:rsidP="000751D3">
      <w:pPr>
        <w:rPr>
          <w:i/>
          <w:iCs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2d&lt;3d&lt;c&lt;4d</m:t>
          </m:r>
          <m:r>
            <w:rPr>
              <w:rFonts w:ascii="Cambria Math" w:eastAsiaTheme="minorEastAsia" w:hAnsi="Cambria Math"/>
              <w:sz w:val="22"/>
              <w:szCs w:val="22"/>
            </w:rPr>
            <m:t>,</m:t>
          </m:r>
        </m:oMath>
      </m:oMathPara>
    </w:p>
    <w:p w14:paraId="322DCAA1" w14:textId="41F76FB4" w:rsidR="000751D3" w:rsidRDefault="00DB0761" w:rsidP="000751D3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and the </w:t>
      </w:r>
      <w:r w:rsidR="005D0B1B">
        <w:rPr>
          <w:i/>
          <w:iCs/>
          <w:sz w:val="22"/>
          <w:szCs w:val="22"/>
        </w:rPr>
        <w:t>‘</w:t>
      </w:r>
      <m:oMath>
        <m:r>
          <w:rPr>
            <w:rFonts w:ascii="Cambria Math" w:hAnsi="Cambria Math"/>
            <w:sz w:val="22"/>
            <w:szCs w:val="22"/>
          </w:rPr>
          <m:t>2d&lt;</m:t>
        </m:r>
      </m:oMath>
      <w:r w:rsidR="005D0B1B">
        <w:rPr>
          <w:rFonts w:eastAsiaTheme="minorEastAsia"/>
          <w:i/>
          <w:iCs/>
          <w:sz w:val="22"/>
          <w:szCs w:val="22"/>
        </w:rPr>
        <w:t>’</w:t>
      </w:r>
      <w:r>
        <w:rPr>
          <w:rFonts w:eastAsiaTheme="minorEastAsia"/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part of this is redundant (it was just </w:t>
      </w:r>
      <w:r w:rsidR="000B47D6">
        <w:rPr>
          <w:i/>
          <w:iCs/>
          <w:sz w:val="22"/>
          <w:szCs w:val="22"/>
        </w:rPr>
        <w:t xml:space="preserve">some running </w:t>
      </w:r>
      <w:r>
        <w:rPr>
          <w:i/>
          <w:iCs/>
          <w:sz w:val="22"/>
          <w:szCs w:val="22"/>
        </w:rPr>
        <w:t>to warm us up</w:t>
      </w:r>
      <w:r w:rsidR="000B47D6">
        <w:rPr>
          <w:i/>
          <w:iCs/>
          <w:sz w:val="22"/>
          <w:szCs w:val="22"/>
        </w:rPr>
        <w:t>!</w:t>
      </w:r>
      <w:r>
        <w:rPr>
          <w:i/>
          <w:iCs/>
          <w:sz w:val="22"/>
          <w:szCs w:val="22"/>
        </w:rPr>
        <w:t>).</w:t>
      </w:r>
    </w:p>
    <w:p w14:paraId="18AF1DFA" w14:textId="23D8F553" w:rsidR="00DB0761" w:rsidRDefault="00DB0761" w:rsidP="000751D3">
      <w:pPr>
        <w:rPr>
          <w:sz w:val="22"/>
          <w:szCs w:val="22"/>
        </w:rPr>
      </w:pPr>
      <w:r w:rsidRPr="00DB0761">
        <w:rPr>
          <w:sz w:val="22"/>
          <w:szCs w:val="22"/>
        </w:rPr>
        <w:t>T: So</w:t>
      </w:r>
      <w:r w:rsidR="005D0B1B">
        <w:rPr>
          <w:sz w:val="22"/>
          <w:szCs w:val="22"/>
        </w:rPr>
        <w:t>,</w:t>
      </w:r>
      <w:r w:rsidRPr="00DB0761">
        <w:rPr>
          <w:sz w:val="22"/>
          <w:szCs w:val="22"/>
        </w:rPr>
        <w:t xml:space="preserve"> the circumference is between 3 and 4 diameters long.</w:t>
      </w:r>
    </w:p>
    <w:p w14:paraId="6BA3ED8E" w14:textId="175ACF90" w:rsidR="005D0B1B" w:rsidRDefault="00DB0761" w:rsidP="000751D3">
      <w:pPr>
        <w:rPr>
          <w:i/>
          <w:iCs/>
          <w:sz w:val="22"/>
          <w:szCs w:val="22"/>
        </w:rPr>
      </w:pPr>
      <w:r w:rsidRPr="00261A2D">
        <w:rPr>
          <w:i/>
          <w:iCs/>
          <w:sz w:val="22"/>
          <w:szCs w:val="22"/>
        </w:rPr>
        <w:t xml:space="preserve">And from here you can explain that </w:t>
      </w:r>
      <w:r w:rsidR="005D0B1B">
        <w:rPr>
          <w:i/>
          <w:iCs/>
          <w:sz w:val="22"/>
          <w:szCs w:val="22"/>
        </w:rPr>
        <w:t>the number is</w:t>
      </w:r>
      <w:r w:rsidRPr="00261A2D">
        <w:rPr>
          <w:i/>
          <w:iCs/>
          <w:sz w:val="22"/>
          <w:szCs w:val="22"/>
        </w:rPr>
        <w:t xml:space="preserve"> called pi</w:t>
      </w:r>
      <w:r w:rsidR="005D0B1B">
        <w:rPr>
          <w:i/>
          <w:iCs/>
          <w:sz w:val="22"/>
          <w:szCs w:val="22"/>
        </w:rPr>
        <w:t>,</w:t>
      </w:r>
      <w:r w:rsidRPr="00261A2D">
        <w:rPr>
          <w:i/>
          <w:iCs/>
          <w:sz w:val="22"/>
          <w:szCs w:val="22"/>
        </w:rPr>
        <w:t xml:space="preserve"> written as π</w:t>
      </w:r>
      <w:r w:rsidR="005D0B1B">
        <w:rPr>
          <w:i/>
          <w:iCs/>
          <w:sz w:val="22"/>
          <w:szCs w:val="22"/>
        </w:rPr>
        <w:t>,</w:t>
      </w:r>
      <w:r w:rsidRPr="00261A2D">
        <w:rPr>
          <w:i/>
          <w:iCs/>
          <w:sz w:val="22"/>
          <w:szCs w:val="22"/>
        </w:rPr>
        <w:t xml:space="preserve"> and has a value around 3.14</w:t>
      </w:r>
      <w:r w:rsidR="005D0B1B">
        <w:rPr>
          <w:i/>
          <w:iCs/>
          <w:sz w:val="22"/>
          <w:szCs w:val="22"/>
        </w:rPr>
        <w:t>,</w:t>
      </w:r>
      <w:r w:rsidRPr="00261A2D">
        <w:rPr>
          <w:i/>
          <w:iCs/>
          <w:sz w:val="22"/>
          <w:szCs w:val="22"/>
        </w:rPr>
        <w:t xml:space="preserve"> but is</w:t>
      </w:r>
      <w:r>
        <w:rPr>
          <w:i/>
          <w:iCs/>
          <w:sz w:val="22"/>
          <w:szCs w:val="22"/>
        </w:rPr>
        <w:t xml:space="preserve"> irrational</w:t>
      </w:r>
      <w:r w:rsidR="00596400">
        <w:rPr>
          <w:i/>
          <w:iCs/>
          <w:sz w:val="22"/>
          <w:szCs w:val="22"/>
        </w:rPr>
        <w:t>,</w:t>
      </w:r>
      <w:r>
        <w:rPr>
          <w:i/>
          <w:iCs/>
          <w:sz w:val="22"/>
          <w:szCs w:val="22"/>
        </w:rPr>
        <w:t xml:space="preserve"> and can’t be written as a fraction with integer numerator and denominator or as a recurring or terminating decimal.</w:t>
      </w:r>
      <w:r w:rsidR="005D0B1B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This approach at least shows that </w:t>
      </w:r>
      <w:r w:rsidRPr="00DB0761">
        <w:rPr>
          <w:i/>
          <w:iCs/>
          <w:sz w:val="22"/>
          <w:szCs w:val="22"/>
        </w:rPr>
        <w:t>π</w:t>
      </w:r>
      <w:r>
        <w:rPr>
          <w:i/>
          <w:iCs/>
          <w:sz w:val="22"/>
          <w:szCs w:val="22"/>
        </w:rPr>
        <w:t xml:space="preserve"> is non-integer. To show that it is irrational </w:t>
      </w:r>
      <w:r w:rsidR="005D0B1B">
        <w:rPr>
          <w:i/>
          <w:iCs/>
          <w:sz w:val="22"/>
          <w:szCs w:val="22"/>
        </w:rPr>
        <w:t xml:space="preserve">(even transcendental) </w:t>
      </w:r>
      <w:r>
        <w:rPr>
          <w:i/>
          <w:iCs/>
          <w:sz w:val="22"/>
          <w:szCs w:val="22"/>
        </w:rPr>
        <w:t xml:space="preserve">requires </w:t>
      </w:r>
      <w:r w:rsidR="000B47D6">
        <w:rPr>
          <w:i/>
          <w:iCs/>
          <w:sz w:val="22"/>
          <w:szCs w:val="22"/>
        </w:rPr>
        <w:t xml:space="preserve">much </w:t>
      </w:r>
      <w:r>
        <w:rPr>
          <w:i/>
          <w:iCs/>
          <w:sz w:val="22"/>
          <w:szCs w:val="22"/>
        </w:rPr>
        <w:t>more advanced mathematics!</w:t>
      </w:r>
    </w:p>
    <w:p w14:paraId="686FA75E" w14:textId="77777777" w:rsidR="005D0B1B" w:rsidRPr="005D0B1B" w:rsidRDefault="005D0B1B" w:rsidP="000751D3">
      <w:pPr>
        <w:rPr>
          <w:i/>
          <w:iCs/>
          <w:sz w:val="16"/>
          <w:szCs w:val="16"/>
        </w:rPr>
      </w:pPr>
    </w:p>
    <w:p w14:paraId="3714630D" w14:textId="689735FB" w:rsidR="005D0B1B" w:rsidRPr="005D0B1B" w:rsidRDefault="005D0B1B" w:rsidP="000751D3">
      <w:pPr>
        <w:rPr>
          <w:rFonts w:eastAsiaTheme="minorEastAsia"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Perhaps a</w:t>
      </w:r>
      <w:r w:rsidR="00CB7E06">
        <w:rPr>
          <w:i/>
          <w:iCs/>
          <w:sz w:val="22"/>
          <w:szCs w:val="22"/>
        </w:rPr>
        <w:t xml:space="preserve"> weakness of this approach is that it just kind of assumes that </w:t>
      </w:r>
      <m:oMath>
        <m:f>
          <m:f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c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d</m:t>
            </m:r>
          </m:den>
        </m:f>
      </m:oMath>
      <w:r w:rsidR="00CB7E06">
        <w:rPr>
          <w:rFonts w:eastAsiaTheme="minorEastAsia"/>
          <w:i/>
          <w:iCs/>
          <w:sz w:val="22"/>
          <w:szCs w:val="22"/>
        </w:rPr>
        <w:t xml:space="preserve"> should be a constant </w:t>
      </w:r>
      <w:r w:rsidR="000B47D6">
        <w:rPr>
          <w:rFonts w:eastAsiaTheme="minorEastAsia"/>
          <w:i/>
          <w:iCs/>
          <w:sz w:val="22"/>
          <w:szCs w:val="22"/>
        </w:rPr>
        <w:t xml:space="preserve">for all circles, </w:t>
      </w:r>
      <w:r w:rsidR="00CB7E06">
        <w:rPr>
          <w:rFonts w:eastAsiaTheme="minorEastAsia"/>
          <w:i/>
          <w:iCs/>
          <w:sz w:val="22"/>
          <w:szCs w:val="22"/>
        </w:rPr>
        <w:t xml:space="preserve">independent of </w:t>
      </w:r>
      <m:oMath>
        <m:r>
          <w:rPr>
            <w:rFonts w:ascii="Cambria Math" w:hAnsi="Cambria Math"/>
            <w:sz w:val="22"/>
            <w:szCs w:val="22"/>
          </w:rPr>
          <m:t>d</m:t>
        </m:r>
      </m:oMath>
      <w:r w:rsidR="00CB7E06">
        <w:rPr>
          <w:rFonts w:eastAsiaTheme="minorEastAsia"/>
          <w:i/>
          <w:iCs/>
          <w:sz w:val="22"/>
          <w:szCs w:val="22"/>
        </w:rPr>
        <w:t xml:space="preserve">, and it would perhaps be better to do some work </w:t>
      </w:r>
      <w:r w:rsidR="00596400">
        <w:rPr>
          <w:rFonts w:eastAsiaTheme="minorEastAsia"/>
          <w:i/>
          <w:iCs/>
          <w:sz w:val="22"/>
          <w:szCs w:val="22"/>
        </w:rPr>
        <w:t xml:space="preserve">first </w:t>
      </w:r>
      <w:r w:rsidR="00CB7E06">
        <w:rPr>
          <w:rFonts w:eastAsiaTheme="minorEastAsia"/>
          <w:i/>
          <w:iCs/>
          <w:sz w:val="22"/>
          <w:szCs w:val="22"/>
        </w:rPr>
        <w:t>to establish that important idea.</w:t>
      </w:r>
      <w:r w:rsidR="000B47D6">
        <w:rPr>
          <w:rFonts w:eastAsiaTheme="minorEastAsia"/>
          <w:i/>
          <w:iCs/>
          <w:sz w:val="22"/>
          <w:szCs w:val="22"/>
        </w:rPr>
        <w:t xml:space="preserve"> </w:t>
      </w:r>
      <w:r w:rsidR="00CB7E06">
        <w:rPr>
          <w:rFonts w:eastAsiaTheme="minorEastAsia"/>
          <w:i/>
          <w:iCs/>
          <w:sz w:val="22"/>
          <w:szCs w:val="22"/>
        </w:rPr>
        <w:t>At some point</w:t>
      </w:r>
      <w:r w:rsidR="000B47D6">
        <w:rPr>
          <w:rFonts w:eastAsiaTheme="minorEastAsia"/>
          <w:i/>
          <w:iCs/>
          <w:sz w:val="22"/>
          <w:szCs w:val="22"/>
        </w:rPr>
        <w:t>,</w:t>
      </w:r>
      <w:r w:rsidR="00CB7E06">
        <w:rPr>
          <w:rFonts w:eastAsiaTheme="minorEastAsia"/>
          <w:i/>
          <w:iCs/>
          <w:sz w:val="22"/>
          <w:szCs w:val="22"/>
        </w:rPr>
        <w:t xml:space="preserve"> radius needs to be defined, but I tend to prefer </w:t>
      </w:r>
      <m:oMath>
        <m:r>
          <w:rPr>
            <w:rFonts w:ascii="Cambria Math" w:hAnsi="Cambria Math"/>
            <w:sz w:val="22"/>
            <w:szCs w:val="22"/>
          </w:rPr>
          <m:t>c=πd</m:t>
        </m:r>
      </m:oMath>
      <w:r w:rsidR="00CB7E06">
        <w:rPr>
          <w:rFonts w:eastAsiaTheme="minorEastAsia"/>
          <w:i/>
          <w:iCs/>
          <w:sz w:val="22"/>
          <w:szCs w:val="22"/>
        </w:rPr>
        <w:t xml:space="preserve"> to </w:t>
      </w:r>
      <m:oMath>
        <m:r>
          <w:rPr>
            <w:rFonts w:ascii="Cambria Math" w:hAnsi="Cambria Math"/>
            <w:sz w:val="22"/>
            <w:szCs w:val="22"/>
          </w:rPr>
          <m:t>c=2πr</m:t>
        </m:r>
      </m:oMath>
      <w:r w:rsidR="00CB7E06">
        <w:rPr>
          <w:rFonts w:eastAsiaTheme="minorEastAsia"/>
          <w:i/>
          <w:iCs/>
          <w:sz w:val="22"/>
          <w:szCs w:val="22"/>
        </w:rPr>
        <w:t>, at least initially.</w:t>
      </w:r>
      <w:r>
        <w:rPr>
          <w:rFonts w:eastAsiaTheme="minorEastAsia"/>
          <w:i/>
          <w:iCs/>
          <w:sz w:val="22"/>
          <w:szCs w:val="22"/>
        </w:rPr>
        <w:t xml:space="preserve"> But radius is useful when deriving the area formula by chopping up the disc into a large number of sectors and </w:t>
      </w:r>
      <w:r w:rsidR="00596400">
        <w:rPr>
          <w:rFonts w:eastAsiaTheme="minorEastAsia"/>
          <w:i/>
          <w:iCs/>
          <w:sz w:val="22"/>
          <w:szCs w:val="22"/>
        </w:rPr>
        <w:t>re</w:t>
      </w:r>
      <w:r>
        <w:rPr>
          <w:rFonts w:eastAsiaTheme="minorEastAsia"/>
          <w:i/>
          <w:iCs/>
          <w:sz w:val="22"/>
          <w:szCs w:val="22"/>
        </w:rPr>
        <w:t>arranging these to make a parallelogram.</w:t>
      </w:r>
    </w:p>
    <w:sectPr w:rsidR="005D0B1B" w:rsidRPr="005D0B1B" w:rsidSect="006444A6">
      <w:footerReference w:type="default" r:id="rId11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62ED2" w14:textId="77777777" w:rsidR="00F07EF6" w:rsidRDefault="00F07EF6" w:rsidP="00BF6208">
      <w:r>
        <w:separator/>
      </w:r>
    </w:p>
  </w:endnote>
  <w:endnote w:type="continuationSeparator" w:id="0">
    <w:p w14:paraId="5E1DC26C" w14:textId="77777777" w:rsidR="00F07EF6" w:rsidRDefault="00F07EF6" w:rsidP="00BF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AD78D" w14:textId="17711D27" w:rsidR="00BF6208" w:rsidRDefault="00BF6208" w:rsidP="00BF6208">
    <w:pPr>
      <w:pStyle w:val="Footer"/>
      <w:jc w:val="center"/>
    </w:pPr>
    <w:r>
      <w:t>www.foster77.co.uk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743DD" w14:textId="77777777" w:rsidR="00F07EF6" w:rsidRDefault="00F07EF6" w:rsidP="00BF6208">
      <w:r>
        <w:separator/>
      </w:r>
    </w:p>
  </w:footnote>
  <w:footnote w:type="continuationSeparator" w:id="0">
    <w:p w14:paraId="2B1A08AF" w14:textId="77777777" w:rsidR="00F07EF6" w:rsidRDefault="00F07EF6" w:rsidP="00BF6208">
      <w:r>
        <w:continuationSeparator/>
      </w:r>
    </w:p>
  </w:footnote>
  <w:footnote w:id="1">
    <w:p w14:paraId="5704D00A" w14:textId="6750B128" w:rsidR="00261A2D" w:rsidRDefault="00261A2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61A2D">
        <w:rPr>
          <w:sz w:val="16"/>
          <w:szCs w:val="16"/>
        </w:rPr>
        <w:t xml:space="preserve">I wrote about the idea behind this </w:t>
      </w:r>
      <w:r w:rsidR="005D0B1B">
        <w:rPr>
          <w:sz w:val="16"/>
          <w:szCs w:val="16"/>
        </w:rPr>
        <w:t>approach</w:t>
      </w:r>
      <w:r w:rsidRPr="00261A2D">
        <w:rPr>
          <w:sz w:val="16"/>
          <w:szCs w:val="16"/>
        </w:rPr>
        <w:t xml:space="preserve"> in: Foster, C. (2014). Questions pupils ask: Why isn’t pi a whole number? </w:t>
      </w:r>
      <w:r w:rsidRPr="00261A2D">
        <w:rPr>
          <w:i/>
          <w:iCs/>
          <w:sz w:val="16"/>
          <w:szCs w:val="16"/>
        </w:rPr>
        <w:t>Mathematics in School, 43</w:t>
      </w:r>
      <w:r w:rsidRPr="00261A2D">
        <w:rPr>
          <w:sz w:val="16"/>
          <w:szCs w:val="16"/>
        </w:rPr>
        <w:t xml:space="preserve">(2), 37–38. </w:t>
      </w:r>
      <w:hyperlink r:id="rId1" w:history="1">
        <w:r w:rsidRPr="005D0B1B">
          <w:rPr>
            <w:rStyle w:val="Hyperlink"/>
            <w:sz w:val="12"/>
            <w:szCs w:val="12"/>
          </w:rPr>
          <w:t>https://www.foster77.co.uk/Foster,%20Mathematics%20In%20School,%20Why%20isn't%20pi%20a%20whole%20number.pdf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71C50"/>
    <w:multiLevelType w:val="hybridMultilevel"/>
    <w:tmpl w:val="C60686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712A54"/>
    <w:multiLevelType w:val="hybridMultilevel"/>
    <w:tmpl w:val="11D45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B550D"/>
    <w:multiLevelType w:val="hybridMultilevel"/>
    <w:tmpl w:val="12AEFB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4850761">
    <w:abstractNumId w:val="0"/>
  </w:num>
  <w:num w:numId="2" w16cid:durableId="528449119">
    <w:abstractNumId w:val="2"/>
  </w:num>
  <w:num w:numId="3" w16cid:durableId="2069255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0D"/>
    <w:rsid w:val="0000066B"/>
    <w:rsid w:val="000031B3"/>
    <w:rsid w:val="00004627"/>
    <w:rsid w:val="00035488"/>
    <w:rsid w:val="00036A05"/>
    <w:rsid w:val="00052E8F"/>
    <w:rsid w:val="000534CF"/>
    <w:rsid w:val="000751D3"/>
    <w:rsid w:val="000762B1"/>
    <w:rsid w:val="00082484"/>
    <w:rsid w:val="00096CB9"/>
    <w:rsid w:val="000A2DA1"/>
    <w:rsid w:val="000A4257"/>
    <w:rsid w:val="000B07FC"/>
    <w:rsid w:val="000B1DDB"/>
    <w:rsid w:val="000B47D6"/>
    <w:rsid w:val="000D2386"/>
    <w:rsid w:val="000D3677"/>
    <w:rsid w:val="000D482D"/>
    <w:rsid w:val="000D4CE1"/>
    <w:rsid w:val="000E33EB"/>
    <w:rsid w:val="001062F7"/>
    <w:rsid w:val="001072D9"/>
    <w:rsid w:val="00122ECE"/>
    <w:rsid w:val="00123AA0"/>
    <w:rsid w:val="00142F9A"/>
    <w:rsid w:val="001545F9"/>
    <w:rsid w:val="001644B4"/>
    <w:rsid w:val="001856B0"/>
    <w:rsid w:val="001873D6"/>
    <w:rsid w:val="00194AC7"/>
    <w:rsid w:val="00195077"/>
    <w:rsid w:val="001A04EA"/>
    <w:rsid w:val="001A167B"/>
    <w:rsid w:val="001A1766"/>
    <w:rsid w:val="001A569A"/>
    <w:rsid w:val="001D4549"/>
    <w:rsid w:val="001E179B"/>
    <w:rsid w:val="001E3369"/>
    <w:rsid w:val="001E5454"/>
    <w:rsid w:val="001F7691"/>
    <w:rsid w:val="001F7F51"/>
    <w:rsid w:val="00204028"/>
    <w:rsid w:val="00207D6E"/>
    <w:rsid w:val="002169F7"/>
    <w:rsid w:val="00216E52"/>
    <w:rsid w:val="002202AA"/>
    <w:rsid w:val="002313D0"/>
    <w:rsid w:val="00232F7D"/>
    <w:rsid w:val="00241689"/>
    <w:rsid w:val="00242779"/>
    <w:rsid w:val="00246019"/>
    <w:rsid w:val="00247521"/>
    <w:rsid w:val="00256358"/>
    <w:rsid w:val="00261A2D"/>
    <w:rsid w:val="00262DF9"/>
    <w:rsid w:val="002658F8"/>
    <w:rsid w:val="00267F0E"/>
    <w:rsid w:val="002737ED"/>
    <w:rsid w:val="002753C1"/>
    <w:rsid w:val="00292097"/>
    <w:rsid w:val="002A0323"/>
    <w:rsid w:val="002C04B7"/>
    <w:rsid w:val="002D0B33"/>
    <w:rsid w:val="002E5ED4"/>
    <w:rsid w:val="002F36C4"/>
    <w:rsid w:val="00302EED"/>
    <w:rsid w:val="0031015F"/>
    <w:rsid w:val="003264CA"/>
    <w:rsid w:val="00345791"/>
    <w:rsid w:val="003638B8"/>
    <w:rsid w:val="00371804"/>
    <w:rsid w:val="0037376A"/>
    <w:rsid w:val="00377791"/>
    <w:rsid w:val="00381D7C"/>
    <w:rsid w:val="003A5D8D"/>
    <w:rsid w:val="003B03A2"/>
    <w:rsid w:val="003D15CC"/>
    <w:rsid w:val="003D1F13"/>
    <w:rsid w:val="003D5627"/>
    <w:rsid w:val="003E0D93"/>
    <w:rsid w:val="003E4BAD"/>
    <w:rsid w:val="004237C3"/>
    <w:rsid w:val="00425480"/>
    <w:rsid w:val="004269DD"/>
    <w:rsid w:val="004356C8"/>
    <w:rsid w:val="00452A3B"/>
    <w:rsid w:val="004549D4"/>
    <w:rsid w:val="00474965"/>
    <w:rsid w:val="00481C09"/>
    <w:rsid w:val="0048385A"/>
    <w:rsid w:val="004A03CE"/>
    <w:rsid w:val="004A6647"/>
    <w:rsid w:val="004C1075"/>
    <w:rsid w:val="004D78A0"/>
    <w:rsid w:val="004E4BAC"/>
    <w:rsid w:val="00504571"/>
    <w:rsid w:val="005052A0"/>
    <w:rsid w:val="005135F5"/>
    <w:rsid w:val="005204C9"/>
    <w:rsid w:val="00526EBF"/>
    <w:rsid w:val="00534FF9"/>
    <w:rsid w:val="0057029F"/>
    <w:rsid w:val="00570CF8"/>
    <w:rsid w:val="00577A90"/>
    <w:rsid w:val="00581CF9"/>
    <w:rsid w:val="0058203C"/>
    <w:rsid w:val="00587E16"/>
    <w:rsid w:val="00591C04"/>
    <w:rsid w:val="00595482"/>
    <w:rsid w:val="005960AA"/>
    <w:rsid w:val="00596400"/>
    <w:rsid w:val="00597CBA"/>
    <w:rsid w:val="005B2BD0"/>
    <w:rsid w:val="005D0B1B"/>
    <w:rsid w:val="005E4427"/>
    <w:rsid w:val="005F390D"/>
    <w:rsid w:val="005F3B64"/>
    <w:rsid w:val="006001E6"/>
    <w:rsid w:val="00600CD1"/>
    <w:rsid w:val="00611001"/>
    <w:rsid w:val="00611D2F"/>
    <w:rsid w:val="0062757E"/>
    <w:rsid w:val="00635902"/>
    <w:rsid w:val="006442B2"/>
    <w:rsid w:val="006444A6"/>
    <w:rsid w:val="006449F8"/>
    <w:rsid w:val="0064720B"/>
    <w:rsid w:val="00651091"/>
    <w:rsid w:val="00652105"/>
    <w:rsid w:val="00652A68"/>
    <w:rsid w:val="00657BB4"/>
    <w:rsid w:val="00662E1A"/>
    <w:rsid w:val="00671CE1"/>
    <w:rsid w:val="00672F13"/>
    <w:rsid w:val="00682AEB"/>
    <w:rsid w:val="00685BD9"/>
    <w:rsid w:val="00686571"/>
    <w:rsid w:val="00697F6F"/>
    <w:rsid w:val="006A14D8"/>
    <w:rsid w:val="006A32EF"/>
    <w:rsid w:val="006A61A9"/>
    <w:rsid w:val="006B0E73"/>
    <w:rsid w:val="006B5AEE"/>
    <w:rsid w:val="006B69CB"/>
    <w:rsid w:val="006C2101"/>
    <w:rsid w:val="006C4794"/>
    <w:rsid w:val="006C6304"/>
    <w:rsid w:val="006D69A8"/>
    <w:rsid w:val="00713949"/>
    <w:rsid w:val="00735FE6"/>
    <w:rsid w:val="00737677"/>
    <w:rsid w:val="00737CB1"/>
    <w:rsid w:val="00747685"/>
    <w:rsid w:val="0076324D"/>
    <w:rsid w:val="00764436"/>
    <w:rsid w:val="00777F1B"/>
    <w:rsid w:val="00785F11"/>
    <w:rsid w:val="007C0300"/>
    <w:rsid w:val="007C7B47"/>
    <w:rsid w:val="007D498F"/>
    <w:rsid w:val="007D647A"/>
    <w:rsid w:val="007D78AF"/>
    <w:rsid w:val="00800032"/>
    <w:rsid w:val="008140DE"/>
    <w:rsid w:val="00826087"/>
    <w:rsid w:val="00833DE1"/>
    <w:rsid w:val="00837F66"/>
    <w:rsid w:val="0085605B"/>
    <w:rsid w:val="0089164D"/>
    <w:rsid w:val="00894BBB"/>
    <w:rsid w:val="008972C5"/>
    <w:rsid w:val="008A3378"/>
    <w:rsid w:val="008A612D"/>
    <w:rsid w:val="008A6BC2"/>
    <w:rsid w:val="008B2D1E"/>
    <w:rsid w:val="008C241F"/>
    <w:rsid w:val="008D167E"/>
    <w:rsid w:val="008E58AF"/>
    <w:rsid w:val="00904815"/>
    <w:rsid w:val="00913207"/>
    <w:rsid w:val="00913ACF"/>
    <w:rsid w:val="00926865"/>
    <w:rsid w:val="009537A6"/>
    <w:rsid w:val="00963024"/>
    <w:rsid w:val="00975582"/>
    <w:rsid w:val="009806BC"/>
    <w:rsid w:val="0098417F"/>
    <w:rsid w:val="009843BC"/>
    <w:rsid w:val="00984B5C"/>
    <w:rsid w:val="009860F8"/>
    <w:rsid w:val="00987691"/>
    <w:rsid w:val="00995157"/>
    <w:rsid w:val="009A1EB9"/>
    <w:rsid w:val="009B1F41"/>
    <w:rsid w:val="009B4267"/>
    <w:rsid w:val="009C35B0"/>
    <w:rsid w:val="009D6479"/>
    <w:rsid w:val="009E49DD"/>
    <w:rsid w:val="009E53AD"/>
    <w:rsid w:val="009F2301"/>
    <w:rsid w:val="00A215D7"/>
    <w:rsid w:val="00A23B60"/>
    <w:rsid w:val="00A375E1"/>
    <w:rsid w:val="00A413A6"/>
    <w:rsid w:val="00A4236E"/>
    <w:rsid w:val="00A82D85"/>
    <w:rsid w:val="00A83A78"/>
    <w:rsid w:val="00A868E7"/>
    <w:rsid w:val="00AB6525"/>
    <w:rsid w:val="00AC5009"/>
    <w:rsid w:val="00AC6932"/>
    <w:rsid w:val="00AD575A"/>
    <w:rsid w:val="00AD679D"/>
    <w:rsid w:val="00AE22C1"/>
    <w:rsid w:val="00AE41DE"/>
    <w:rsid w:val="00AF04E7"/>
    <w:rsid w:val="00AF4B08"/>
    <w:rsid w:val="00AF4D9B"/>
    <w:rsid w:val="00AF5A7F"/>
    <w:rsid w:val="00AF6790"/>
    <w:rsid w:val="00AF7AA5"/>
    <w:rsid w:val="00B032CA"/>
    <w:rsid w:val="00B23E1F"/>
    <w:rsid w:val="00B641B3"/>
    <w:rsid w:val="00B86D19"/>
    <w:rsid w:val="00B87785"/>
    <w:rsid w:val="00B93215"/>
    <w:rsid w:val="00B97157"/>
    <w:rsid w:val="00B9736F"/>
    <w:rsid w:val="00BA0AA9"/>
    <w:rsid w:val="00BA2DB8"/>
    <w:rsid w:val="00BA6F3D"/>
    <w:rsid w:val="00BB56D8"/>
    <w:rsid w:val="00BB7B27"/>
    <w:rsid w:val="00BD432E"/>
    <w:rsid w:val="00BE590B"/>
    <w:rsid w:val="00BE6325"/>
    <w:rsid w:val="00BF031C"/>
    <w:rsid w:val="00BF5127"/>
    <w:rsid w:val="00BF5743"/>
    <w:rsid w:val="00BF5FB3"/>
    <w:rsid w:val="00BF6208"/>
    <w:rsid w:val="00C00FC2"/>
    <w:rsid w:val="00C06464"/>
    <w:rsid w:val="00C337BF"/>
    <w:rsid w:val="00C339A1"/>
    <w:rsid w:val="00C51F4F"/>
    <w:rsid w:val="00C61149"/>
    <w:rsid w:val="00C64B9E"/>
    <w:rsid w:val="00C81F5D"/>
    <w:rsid w:val="00C92EC8"/>
    <w:rsid w:val="00CA0480"/>
    <w:rsid w:val="00CB7E06"/>
    <w:rsid w:val="00CD590F"/>
    <w:rsid w:val="00CF340D"/>
    <w:rsid w:val="00D01860"/>
    <w:rsid w:val="00D46E60"/>
    <w:rsid w:val="00D5690B"/>
    <w:rsid w:val="00D61675"/>
    <w:rsid w:val="00D61CB3"/>
    <w:rsid w:val="00D75563"/>
    <w:rsid w:val="00D8584C"/>
    <w:rsid w:val="00D86059"/>
    <w:rsid w:val="00D9361D"/>
    <w:rsid w:val="00DB0761"/>
    <w:rsid w:val="00DC485C"/>
    <w:rsid w:val="00DC618E"/>
    <w:rsid w:val="00DD1A05"/>
    <w:rsid w:val="00DE33C6"/>
    <w:rsid w:val="00DE65EE"/>
    <w:rsid w:val="00E027EA"/>
    <w:rsid w:val="00E1760F"/>
    <w:rsid w:val="00E22B06"/>
    <w:rsid w:val="00E339C7"/>
    <w:rsid w:val="00E512B3"/>
    <w:rsid w:val="00E535D3"/>
    <w:rsid w:val="00E63DDD"/>
    <w:rsid w:val="00E71A9F"/>
    <w:rsid w:val="00E75CB3"/>
    <w:rsid w:val="00E769D3"/>
    <w:rsid w:val="00E96572"/>
    <w:rsid w:val="00EA0628"/>
    <w:rsid w:val="00EB08E2"/>
    <w:rsid w:val="00EB0C33"/>
    <w:rsid w:val="00EB1922"/>
    <w:rsid w:val="00EB2AED"/>
    <w:rsid w:val="00EB2F5A"/>
    <w:rsid w:val="00EB4C48"/>
    <w:rsid w:val="00EB5ACA"/>
    <w:rsid w:val="00EC1694"/>
    <w:rsid w:val="00ED089B"/>
    <w:rsid w:val="00ED2C8B"/>
    <w:rsid w:val="00ED67B9"/>
    <w:rsid w:val="00EE1180"/>
    <w:rsid w:val="00EF21EA"/>
    <w:rsid w:val="00F01B12"/>
    <w:rsid w:val="00F02A1F"/>
    <w:rsid w:val="00F066FD"/>
    <w:rsid w:val="00F074EA"/>
    <w:rsid w:val="00F07EF6"/>
    <w:rsid w:val="00F14597"/>
    <w:rsid w:val="00F3295E"/>
    <w:rsid w:val="00F43A98"/>
    <w:rsid w:val="00F47886"/>
    <w:rsid w:val="00F54AFB"/>
    <w:rsid w:val="00F6446D"/>
    <w:rsid w:val="00F77C76"/>
    <w:rsid w:val="00F85252"/>
    <w:rsid w:val="00F92C6B"/>
    <w:rsid w:val="00FA342F"/>
    <w:rsid w:val="00FA7985"/>
    <w:rsid w:val="00FB3D86"/>
    <w:rsid w:val="00FB41D8"/>
    <w:rsid w:val="00FB59EC"/>
    <w:rsid w:val="00FC48FF"/>
    <w:rsid w:val="00FD00D0"/>
    <w:rsid w:val="00FD0171"/>
    <w:rsid w:val="00FD7700"/>
    <w:rsid w:val="00FE4D7D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64AEB"/>
  <w14:defaultImageDpi w14:val="32767"/>
  <w15:chartTrackingRefBased/>
  <w15:docId w15:val="{160C9D2A-816C-9C4A-9908-AA2A33CA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03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F031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95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5F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62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208"/>
  </w:style>
  <w:style w:type="paragraph" w:styleId="Footer">
    <w:name w:val="footer"/>
    <w:basedOn w:val="Normal"/>
    <w:link w:val="FooterChar"/>
    <w:uiPriority w:val="99"/>
    <w:unhideWhenUsed/>
    <w:rsid w:val="00BF62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208"/>
  </w:style>
  <w:style w:type="character" w:styleId="PlaceholderText">
    <w:name w:val="Placeholder Text"/>
    <w:basedOn w:val="DefaultParagraphFont"/>
    <w:uiPriority w:val="99"/>
    <w:semiHidden/>
    <w:rsid w:val="00600CD1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1A2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1A2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1A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4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9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5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7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6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9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oster77.co.uk/Foster,%20Mathematics%20In%20School,%20Why%20isn't%20pi%20a%20whole%20numb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22E182-622C-CD4B-A1F2-4364A3030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Foster</dc:creator>
  <cp:keywords/>
  <dc:description/>
  <cp:lastModifiedBy>Colin Foster</cp:lastModifiedBy>
  <cp:revision>4</cp:revision>
  <dcterms:created xsi:type="dcterms:W3CDTF">2022-02-21T12:20:00Z</dcterms:created>
  <dcterms:modified xsi:type="dcterms:W3CDTF">2022-04-28T16:08:00Z</dcterms:modified>
</cp:coreProperties>
</file>